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B3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120B3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Лимар Микола Павлович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18.09.2015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20B3A">
      <w:pPr>
        <w:rPr>
          <w:rFonts w:eastAsia="Times New Roman"/>
          <w:color w:val="000000"/>
        </w:rPr>
      </w:pPr>
    </w:p>
    <w:p w:rsidR="00000000" w:rsidRDefault="00120B3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20B3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"Василькiвське вантажне автотранспортне пiдприємство"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08600, м. Василькiв, вул. Тракторна, 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05538626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(04571) 2-44-76 (04571) 2-44-76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VATVVAP@emitent.net.ua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120B3A">
      <w:pPr>
        <w:rPr>
          <w:rFonts w:eastAsia="Times New Roman"/>
          <w:color w:val="000000"/>
        </w:rPr>
      </w:pPr>
    </w:p>
    <w:p w:rsidR="00000000" w:rsidRDefault="00120B3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  <w:gridCol w:w="3089"/>
        <w:gridCol w:w="1986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15.09.2015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176 (2180)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17.09.2015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http://vatvvap.informs.net.ua/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17.09.2015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20B3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120B3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розміщення цінних паперів на суму, що перевищує 25 відсотків статутного капіталу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845"/>
        <w:gridCol w:w="2845"/>
        <w:gridCol w:w="2845"/>
        <w:gridCol w:w="2845"/>
        <w:gridCol w:w="2845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Вид цінних паперів, що розміщуються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Кількість цінних паперів, що розміщуються (шт.)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Сума цінних паперів, що розміщуються (тис. грн.)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Частка від статутного капіталу (у відсотках)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Акція проста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28091579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7022894.75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1472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0B3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 прийняте загальними зборами акцiонерiв 15.09.2015 р. Планується додатково розмiстити 28 091 579 простих iменних акцiй номiнальною вартiстю 0,25 грн. на загальну суму 7 022 894,75 грн. шляхом приватного розмiщення серед осiб, що є акцiонерами станом</w:t>
            </w:r>
            <w:r>
              <w:rPr>
                <w:rFonts w:eastAsia="Times New Roman"/>
                <w:color w:val="000000"/>
              </w:rPr>
              <w:t xml:space="preserve"> на дату прийняття рiшення. Розмiщення здiйснюється без залучення торговця. Акцiї розмiщуватимуться за номiнальною вартiстю, оскiльки ринкова, визначена оцiнювачем, є меншою вiд номiналу i склала 0,0828 грн. Змiна власникiв 10% та бiльше статутного капiтал</w:t>
            </w:r>
            <w:r>
              <w:rPr>
                <w:rFonts w:eastAsia="Times New Roman"/>
                <w:color w:val="000000"/>
              </w:rPr>
              <w:t>у за результатами розмiщення не передбачається. Планується додатково розмiстити 28 091 579 акцiй, що по вiдношенню до iснуючою кiлькостi акцiй (1 908 421 акцiй, на якi подiлений статутний капiтал та якi знаходяться в обiгу) складає 1472%. Iнвестори в цiннi</w:t>
            </w:r>
            <w:r>
              <w:rPr>
                <w:rFonts w:eastAsia="Times New Roman"/>
                <w:color w:val="000000"/>
              </w:rPr>
              <w:t xml:space="preserve"> папери отримають зокрема право на участь в управлiннi Товариством, право на участь у розподiлi прибутку та отримання його частки (дивiдендiв), право на отримання у разi лiквiдацiї Товариства частини його майна або вартостi частини майна, право на отриманн</w:t>
            </w:r>
            <w:r>
              <w:rPr>
                <w:rFonts w:eastAsia="Times New Roman"/>
                <w:color w:val="000000"/>
              </w:rPr>
              <w:t>я iнформацiї про господарську дiяльнiсть Товариства, переважне право на придбання додатково випущених акцiй, право на розпорядження належними акцiонеру акцiями, iншi визначенi законодавством та статутом права. Спосiб оплати передбачається виключно грошовим</w:t>
            </w:r>
            <w:r>
              <w:rPr>
                <w:rFonts w:eastAsia="Times New Roman"/>
                <w:color w:val="000000"/>
              </w:rPr>
              <w:t>и коштами. Метою збiльшення статутного капiталу є поповнення обiгових коштiв для розвитку Товариства. Можливiсть конвертацiї не передбачається. Акцiонери Товариства мають право придбати акцiї додаткового випуску у кiлькостi, пропорцiйнiй належним їм акцiям</w:t>
            </w:r>
            <w:r>
              <w:rPr>
                <w:rFonts w:eastAsia="Times New Roman"/>
                <w:color w:val="000000"/>
              </w:rPr>
              <w:t xml:space="preserve"> на дату прийняття рiшення про додатковий випуск. Строки та порядок розмiщення, оплати, викупу акцiй визначенi рiшенням уповноваженого органу, акцiонери повiдомляються персонально. </w:t>
            </w:r>
          </w:p>
        </w:tc>
      </w:tr>
    </w:tbl>
    <w:p w:rsidR="00000000" w:rsidRDefault="00120B3A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20B3A"/>
    <w:rsid w:val="001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3064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2015-09-15T18:57:00Z</dcterms:created>
  <dcterms:modified xsi:type="dcterms:W3CDTF">2015-09-15T18:57:00Z</dcterms:modified>
</cp:coreProperties>
</file>